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4057241</wp:posOffset>
                </wp:positionH>
                <wp:positionV relativeFrom="line">
                  <wp:posOffset>1557615</wp:posOffset>
                </wp:positionV>
                <wp:extent cx="2349909" cy="54237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909" cy="542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 xml:space="preserve">  </w:t>
                            </w:r>
                            <w:r>
                              <w:rPr>
                                <w:sz w:val="46"/>
                                <w:szCs w:val="46"/>
                                <w:rtl w:val="0"/>
                              </w:rPr>
                              <w:t xml:space="preserve">   .hcy-vitality.cz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9.5pt;margin-top:122.6pt;width:185.0pt;height:42.7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bidi w:val="0"/>
                      </w:pPr>
                      <w:r>
                        <w:rPr>
                          <w:rtl w:val="0"/>
                        </w:rPr>
                        <w:t xml:space="preserve">  </w:t>
                      </w:r>
                      <w:r>
                        <w:rPr>
                          <w:sz w:val="46"/>
                          <w:szCs w:val="46"/>
                          <w:rtl w:val="0"/>
                        </w:rPr>
                        <w:t xml:space="preserve">   .hcy-vitality.cz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1650999</wp:posOffset>
                </wp:positionV>
                <wp:extent cx="3898690" cy="35560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690" cy="35560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tl w:val="0"/>
                              </w:rPr>
                              <w:t>Produkty zna</w:t>
                            </w:r>
                            <w:r>
                              <w:rPr>
                                <w:rtl w:val="0"/>
                              </w:rPr>
                              <w:t>č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ky Vitality m</w:t>
                            </w:r>
                            <w:r>
                              <w:rPr>
                                <w:rtl w:val="0"/>
                              </w:rPr>
                              <w:t>ůž</w:t>
                            </w:r>
                            <w:r>
                              <w:rPr>
                                <w:rtl w:val="0"/>
                              </w:rPr>
                              <w:t xml:space="preserve">ete nakoupit </w:t>
                            </w:r>
                            <w:r>
                              <w:rPr>
                                <w:rtl w:val="0"/>
                              </w:rPr>
                              <w:t>kdykoliv na adrese: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5pt;margin-top:130.0pt;width:307.0pt;height:28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tl w:val="0"/>
                        </w:rPr>
                        <w:t>Produkty zna</w:t>
                      </w:r>
                      <w:r>
                        <w:rPr>
                          <w:rtl w:val="0"/>
                        </w:rPr>
                        <w:t>č</w:t>
                      </w:r>
                      <w:r>
                        <w:rPr>
                          <w:rtl w:val="0"/>
                          <w:lang w:val="en-US"/>
                        </w:rPr>
                        <w:t>ky Vitality m</w:t>
                      </w:r>
                      <w:r>
                        <w:rPr>
                          <w:rtl w:val="0"/>
                        </w:rPr>
                        <w:t>ůž</w:t>
                      </w:r>
                      <w:r>
                        <w:rPr>
                          <w:rtl w:val="0"/>
                        </w:rPr>
                        <w:t xml:space="preserve">ete nakoupit </w:t>
                      </w:r>
                      <w:r>
                        <w:rPr>
                          <w:rtl w:val="0"/>
                        </w:rPr>
                        <w:t>kdykoliv na adrese: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tbl>
      <w:tblPr>
        <w:tblW w:w="998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196"/>
        <w:gridCol w:w="938"/>
        <w:gridCol w:w="1052"/>
        <w:gridCol w:w="1209"/>
        <w:gridCol w:w="3592"/>
      </w:tblGrid>
      <w:tr>
        <w:tblPrEx>
          <w:shd w:val="clear" w:color="auto" w:fill="ceddeb"/>
        </w:tblPrEx>
        <w:trPr>
          <w:trHeight w:val="254" w:hRule="atLeast"/>
        </w:trPr>
        <w:tc>
          <w:tcPr>
            <w:tcW w:type="dxa" w:w="31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Produkt</w:t>
            </w:r>
          </w:p>
        </w:tc>
        <w:tc>
          <w:tcPr>
            <w:tcW w:type="dxa" w:w="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R</w:t>
            </w:r>
            <w:r>
              <w:rPr>
                <w:rFonts w:ascii="Helvetica" w:hAnsi="Helvetica" w:hint="default"/>
                <w:rtl w:val="0"/>
              </w:rPr>
              <w:t>á</w:t>
            </w:r>
            <w:r>
              <w:rPr>
                <w:rFonts w:ascii="Helvetica" w:hAnsi="Helvetica"/>
                <w:rtl w:val="0"/>
              </w:rPr>
              <w:t>no</w:t>
            </w:r>
          </w:p>
        </w:tc>
        <w:tc>
          <w:tcPr>
            <w:tcW w:type="dxa" w:w="10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Poledne</w:t>
            </w:r>
          </w:p>
        </w:tc>
        <w:tc>
          <w:tcPr>
            <w:tcW w:type="dxa" w:w="1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Ve</w:t>
            </w:r>
            <w:r>
              <w:rPr>
                <w:rFonts w:ascii="Helvetica" w:hAnsi="Helvetica" w:hint="default"/>
                <w:rtl w:val="0"/>
              </w:rPr>
              <w:t>č</w:t>
            </w:r>
            <w:r>
              <w:rPr>
                <w:rFonts w:ascii="Helvetica" w:hAnsi="Helvetica"/>
                <w:rtl w:val="0"/>
              </w:rPr>
              <w:t>er</w:t>
            </w:r>
          </w:p>
        </w:tc>
        <w:tc>
          <w:tcPr>
            <w:tcW w:type="dxa" w:w="3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Kdy?</w:t>
            </w:r>
          </w:p>
        </w:tc>
      </w:tr>
      <w:tr>
        <w:tblPrEx>
          <w:shd w:val="clear" w:color="auto" w:fill="ceddeb"/>
        </w:tblPrEx>
        <w:trPr>
          <w:trHeight w:val="485" w:hRule="atLeast"/>
        </w:trPr>
        <w:tc>
          <w:tcPr>
            <w:tcW w:type="dxa" w:w="31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Homocystein Vitality s betainem</w:t>
            </w:r>
          </w:p>
        </w:tc>
        <w:tc>
          <w:tcPr>
            <w:tcW w:type="dxa" w:w="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</w:t>
            </w:r>
          </w:p>
        </w:tc>
        <w:tc>
          <w:tcPr>
            <w:tcW w:type="dxa" w:w="10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</w:t>
            </w:r>
          </w:p>
        </w:tc>
        <w:tc>
          <w:tcPr>
            <w:tcW w:type="dxa" w:w="1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</w:t>
            </w:r>
          </w:p>
        </w:tc>
        <w:tc>
          <w:tcPr>
            <w:tcW w:type="dxa" w:w="3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20 minut p</w:t>
            </w:r>
            <w:r>
              <w:rPr>
                <w:rFonts w:ascii="Helvetica" w:hAnsi="Helvetica" w:hint="default"/>
                <w:rtl w:val="0"/>
              </w:rPr>
              <w:t>ř</w:t>
            </w:r>
            <w:r>
              <w:rPr>
                <w:rFonts w:ascii="Helvetica" w:hAnsi="Helvetica"/>
                <w:rtl w:val="0"/>
              </w:rPr>
              <w:t>ed j</w:t>
            </w:r>
            <w:r>
              <w:rPr>
                <w:rFonts w:ascii="Helvetica" w:hAnsi="Helvetica" w:hint="default"/>
                <w:rtl w:val="0"/>
              </w:rPr>
              <w:t>í</w:t>
            </w:r>
            <w:r>
              <w:rPr>
                <w:rFonts w:ascii="Helvetica" w:hAnsi="Helvetica"/>
                <w:rtl w:val="0"/>
              </w:rPr>
              <w:t>dlem nebo</w:t>
            </w: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 hodinu po j</w:t>
            </w:r>
            <w:r>
              <w:rPr>
                <w:rFonts w:ascii="Helvetica" w:hAnsi="Helvetica" w:hint="default"/>
                <w:rtl w:val="0"/>
              </w:rPr>
              <w:t>í</w:t>
            </w:r>
            <w:r>
              <w:rPr>
                <w:rFonts w:ascii="Helvetica" w:hAnsi="Helvetica"/>
                <w:rtl w:val="0"/>
              </w:rPr>
              <w:t>dle (r</w:t>
            </w:r>
            <w:r>
              <w:rPr>
                <w:rFonts w:ascii="Helvetica" w:hAnsi="Helvetica" w:hint="default"/>
                <w:rtl w:val="0"/>
              </w:rPr>
              <w:t>á</w:t>
            </w:r>
            <w:r>
              <w:rPr>
                <w:rFonts w:ascii="Helvetica" w:hAnsi="Helvetica"/>
                <w:rtl w:val="0"/>
              </w:rPr>
              <w:t>no)</w:t>
            </w:r>
          </w:p>
        </w:tc>
      </w:tr>
      <w:tr>
        <w:tblPrEx>
          <w:shd w:val="clear" w:color="auto" w:fill="ceddeb"/>
        </w:tblPrEx>
        <w:trPr>
          <w:trHeight w:val="485" w:hRule="atLeast"/>
        </w:trPr>
        <w:tc>
          <w:tcPr>
            <w:tcW w:type="dxa" w:w="31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Magnesium Vitality</w:t>
            </w:r>
          </w:p>
        </w:tc>
        <w:tc>
          <w:tcPr>
            <w:tcW w:type="dxa" w:w="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</w:t>
            </w:r>
          </w:p>
        </w:tc>
        <w:tc>
          <w:tcPr>
            <w:tcW w:type="dxa" w:w="10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</w:t>
            </w:r>
          </w:p>
        </w:tc>
        <w:tc>
          <w:tcPr>
            <w:tcW w:type="dxa" w:w="1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</w:t>
            </w:r>
          </w:p>
        </w:tc>
        <w:tc>
          <w:tcPr>
            <w:tcW w:type="dxa" w:w="3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20 minut p</w:t>
            </w:r>
            <w:r>
              <w:rPr>
                <w:rFonts w:ascii="Helvetica" w:hAnsi="Helvetica" w:hint="default"/>
                <w:rtl w:val="0"/>
              </w:rPr>
              <w:t>ř</w:t>
            </w:r>
            <w:r>
              <w:rPr>
                <w:rFonts w:ascii="Helvetica" w:hAnsi="Helvetica"/>
                <w:rtl w:val="0"/>
              </w:rPr>
              <w:t>ed j</w:t>
            </w:r>
            <w:r>
              <w:rPr>
                <w:rFonts w:ascii="Helvetica" w:hAnsi="Helvetica" w:hint="default"/>
                <w:rtl w:val="0"/>
              </w:rPr>
              <w:t>í</w:t>
            </w:r>
            <w:r>
              <w:rPr>
                <w:rFonts w:ascii="Helvetica" w:hAnsi="Helvetica"/>
                <w:rtl w:val="0"/>
              </w:rPr>
              <w:t>dlem nebo</w:t>
            </w:r>
          </w:p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 hodinu po j</w:t>
            </w:r>
            <w:r>
              <w:rPr>
                <w:rFonts w:ascii="Helvetica" w:hAnsi="Helvetica" w:hint="default"/>
                <w:rtl w:val="0"/>
              </w:rPr>
              <w:t>í</w:t>
            </w:r>
            <w:r>
              <w:rPr>
                <w:rFonts w:ascii="Helvetica" w:hAnsi="Helvetica"/>
                <w:rtl w:val="0"/>
              </w:rPr>
              <w:t>dle</w:t>
            </w:r>
          </w:p>
        </w:tc>
      </w:tr>
      <w:tr>
        <w:tblPrEx>
          <w:shd w:val="clear" w:color="auto" w:fill="ceddeb"/>
        </w:tblPrEx>
        <w:trPr>
          <w:trHeight w:val="254" w:hRule="atLeast"/>
        </w:trPr>
        <w:tc>
          <w:tcPr>
            <w:tcW w:type="dxa" w:w="31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Mega Lecithin Vitality</w:t>
            </w:r>
          </w:p>
        </w:tc>
        <w:tc>
          <w:tcPr>
            <w:tcW w:type="dxa" w:w="9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0</w:t>
            </w:r>
          </w:p>
        </w:tc>
        <w:tc>
          <w:tcPr>
            <w:tcW w:type="dxa" w:w="10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1</w:t>
            </w:r>
          </w:p>
        </w:tc>
        <w:tc>
          <w:tcPr>
            <w:tcW w:type="dxa" w:w="1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0</w:t>
            </w:r>
          </w:p>
        </w:tc>
        <w:tc>
          <w:tcPr>
            <w:tcW w:type="dxa" w:w="35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rtl w:val="0"/>
              </w:rPr>
              <w:t>s j</w:t>
            </w:r>
            <w:r>
              <w:rPr>
                <w:rFonts w:ascii="Helvetica" w:hAnsi="Helvetica" w:hint="default"/>
                <w:rtl w:val="0"/>
              </w:rPr>
              <w:t>í</w:t>
            </w:r>
            <w:r>
              <w:rPr>
                <w:rFonts w:ascii="Helvetica" w:hAnsi="Helvetica"/>
                <w:rtl w:val="0"/>
              </w:rPr>
              <w:t>dlem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tl w:val="0"/>
        </w:rPr>
        <w:t>Dal</w:t>
      </w:r>
      <w:r>
        <w:rPr>
          <w:rtl w:val="0"/>
        </w:rPr>
        <w:t xml:space="preserve">ší </w:t>
      </w:r>
      <w:r>
        <w:rPr>
          <w:rtl w:val="0"/>
          <w:lang w:val="it-IT"/>
        </w:rPr>
        <w:t>doporu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 xml:space="preserve">: 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</w:pPr>
      <w:r>
        <w:rPr>
          <w:b w:val="1"/>
          <w:bCs w:val="1"/>
          <w:sz w:val="20"/>
          <w:szCs w:val="20"/>
          <w:rtl w:val="0"/>
        </w:rPr>
        <w:t>Upozor</w:t>
      </w:r>
      <w:r>
        <w:rPr>
          <w:b w:val="1"/>
          <w:bCs w:val="1"/>
          <w:sz w:val="20"/>
          <w:szCs w:val="20"/>
          <w:rtl w:val="0"/>
        </w:rPr>
        <w:t>ň</w:t>
      </w:r>
      <w:r>
        <w:rPr>
          <w:b w:val="1"/>
          <w:bCs w:val="1"/>
          <w:sz w:val="20"/>
          <w:szCs w:val="20"/>
          <w:rtl w:val="0"/>
        </w:rPr>
        <w:t xml:space="preserve">ujeme, </w:t>
      </w:r>
      <w:r>
        <w:rPr>
          <w:b w:val="1"/>
          <w:bCs w:val="1"/>
          <w:sz w:val="20"/>
          <w:szCs w:val="20"/>
          <w:rtl w:val="0"/>
        </w:rPr>
        <w:t>ž</w:t>
      </w:r>
      <w:r>
        <w:rPr>
          <w:b w:val="1"/>
          <w:bCs w:val="1"/>
          <w:sz w:val="20"/>
          <w:szCs w:val="20"/>
          <w:rtl w:val="0"/>
          <w:lang w:val="it-IT"/>
        </w:rPr>
        <w:t>e doporu</w:t>
      </w:r>
      <w:r>
        <w:rPr>
          <w:b w:val="1"/>
          <w:bCs w:val="1"/>
          <w:sz w:val="20"/>
          <w:szCs w:val="20"/>
          <w:rtl w:val="0"/>
        </w:rPr>
        <w:t>č</w:t>
      </w:r>
      <w:r>
        <w:rPr>
          <w:b w:val="1"/>
          <w:bCs w:val="1"/>
          <w:sz w:val="20"/>
          <w:szCs w:val="20"/>
          <w:rtl w:val="0"/>
        </w:rPr>
        <w:t>en</w:t>
      </w:r>
      <w:r>
        <w:rPr>
          <w:b w:val="1"/>
          <w:bCs w:val="1"/>
          <w:sz w:val="20"/>
          <w:szCs w:val="20"/>
          <w:rtl w:val="0"/>
        </w:rPr>
        <w:t xml:space="preserve">í </w:t>
      </w:r>
      <w:r>
        <w:rPr>
          <w:b w:val="1"/>
          <w:bCs w:val="1"/>
          <w:sz w:val="20"/>
          <w:szCs w:val="20"/>
          <w:rtl w:val="0"/>
        </w:rPr>
        <w:t>poradce ke sni</w:t>
      </w:r>
      <w:r>
        <w:rPr>
          <w:b w:val="1"/>
          <w:bCs w:val="1"/>
          <w:sz w:val="20"/>
          <w:szCs w:val="20"/>
          <w:rtl w:val="0"/>
        </w:rPr>
        <w:t>ž</w:t>
      </w:r>
      <w:r>
        <w:rPr>
          <w:b w:val="1"/>
          <w:bCs w:val="1"/>
          <w:sz w:val="20"/>
          <w:szCs w:val="20"/>
          <w:rtl w:val="0"/>
        </w:rPr>
        <w:t>ov</w:t>
      </w:r>
      <w:r>
        <w:rPr>
          <w:b w:val="1"/>
          <w:bCs w:val="1"/>
          <w:sz w:val="20"/>
          <w:szCs w:val="20"/>
          <w:rtl w:val="0"/>
        </w:rPr>
        <w:t>á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</w:rPr>
        <w:t xml:space="preserve">í </w:t>
      </w:r>
      <w:r>
        <w:rPr>
          <w:b w:val="1"/>
          <w:bCs w:val="1"/>
          <w:sz w:val="20"/>
          <w:szCs w:val="20"/>
          <w:rtl w:val="0"/>
        </w:rPr>
        <w:t xml:space="preserve">hladiny homocysteinu v krvi v </w:t>
      </w:r>
      <w:r>
        <w:rPr>
          <w:b w:val="1"/>
          <w:bCs w:val="1"/>
          <w:sz w:val="20"/>
          <w:szCs w:val="20"/>
          <w:rtl w:val="0"/>
        </w:rPr>
        <w:t>žá</w:t>
      </w:r>
      <w:r>
        <w:rPr>
          <w:b w:val="1"/>
          <w:bCs w:val="1"/>
          <w:sz w:val="20"/>
          <w:szCs w:val="20"/>
          <w:rtl w:val="0"/>
        </w:rPr>
        <w:t>dn</w:t>
      </w:r>
      <w:r>
        <w:rPr>
          <w:b w:val="1"/>
          <w:bCs w:val="1"/>
          <w:sz w:val="20"/>
          <w:szCs w:val="20"/>
          <w:rtl w:val="0"/>
        </w:rPr>
        <w:t>é</w:t>
      </w:r>
      <w:r>
        <w:rPr>
          <w:b w:val="1"/>
          <w:bCs w:val="1"/>
          <w:sz w:val="20"/>
          <w:szCs w:val="20"/>
          <w:rtl w:val="0"/>
        </w:rPr>
        <w:t>m p</w:t>
      </w:r>
      <w:r>
        <w:rPr>
          <w:b w:val="1"/>
          <w:bCs w:val="1"/>
          <w:sz w:val="20"/>
          <w:szCs w:val="20"/>
          <w:rtl w:val="0"/>
        </w:rPr>
        <w:t>ří</w:t>
      </w:r>
      <w:r>
        <w:rPr>
          <w:b w:val="1"/>
          <w:bCs w:val="1"/>
          <w:sz w:val="20"/>
          <w:szCs w:val="20"/>
          <w:rtl w:val="0"/>
        </w:rPr>
        <w:t>pad</w:t>
      </w:r>
      <w:r>
        <w:rPr>
          <w:b w:val="1"/>
          <w:bCs w:val="1"/>
          <w:sz w:val="20"/>
          <w:szCs w:val="20"/>
          <w:rtl w:val="0"/>
        </w:rPr>
        <w:t xml:space="preserve">ě </w:t>
      </w:r>
      <w:r>
        <w:rPr>
          <w:b w:val="1"/>
          <w:bCs w:val="1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n</w:t>
      </w:r>
      <w:r>
        <w:rPr>
          <w:b w:val="1"/>
          <w:bCs w:val="1"/>
          <w:sz w:val="20"/>
          <w:szCs w:val="20"/>
          <w:rtl w:val="0"/>
        </w:rPr>
        <w:t>e</w:t>
      </w:r>
      <w:r>
        <w:rPr>
          <w:b w:val="1"/>
          <w:bCs w:val="1"/>
          <w:sz w:val="20"/>
          <w:szCs w:val="20"/>
          <w:rtl w:val="0"/>
        </w:rPr>
        <w:t>nahrazuje l</w:t>
      </w:r>
      <w:r>
        <w:rPr>
          <w:b w:val="1"/>
          <w:bCs w:val="1"/>
          <w:sz w:val="20"/>
          <w:szCs w:val="20"/>
          <w:rtl w:val="0"/>
        </w:rPr>
        <w:t>é</w:t>
      </w:r>
      <w:r>
        <w:rPr>
          <w:b w:val="1"/>
          <w:bCs w:val="1"/>
          <w:sz w:val="20"/>
          <w:szCs w:val="20"/>
          <w:rtl w:val="0"/>
        </w:rPr>
        <w:t>ka</w:t>
      </w:r>
      <w:r>
        <w:rPr>
          <w:b w:val="1"/>
          <w:bCs w:val="1"/>
          <w:sz w:val="20"/>
          <w:szCs w:val="20"/>
          <w:rtl w:val="0"/>
        </w:rPr>
        <w:t>ř</w:t>
      </w:r>
      <w:r>
        <w:rPr>
          <w:b w:val="1"/>
          <w:bCs w:val="1"/>
          <w:sz w:val="20"/>
          <w:szCs w:val="20"/>
          <w:rtl w:val="0"/>
        </w:rPr>
        <w:t>skou p</w:t>
      </w:r>
      <w:r>
        <w:rPr>
          <w:b w:val="1"/>
          <w:bCs w:val="1"/>
          <w:sz w:val="20"/>
          <w:szCs w:val="20"/>
          <w:rtl w:val="0"/>
        </w:rPr>
        <w:t>éč</w:t>
      </w:r>
      <w:r>
        <w:rPr>
          <w:b w:val="1"/>
          <w:bCs w:val="1"/>
          <w:sz w:val="20"/>
          <w:szCs w:val="20"/>
          <w:rtl w:val="0"/>
        </w:rPr>
        <w:t>i, m</w:t>
      </w:r>
      <w:r>
        <w:rPr>
          <w:b w:val="1"/>
          <w:bCs w:val="1"/>
          <w:sz w:val="20"/>
          <w:szCs w:val="20"/>
          <w:rtl w:val="0"/>
        </w:rPr>
        <w:t>ůž</w:t>
      </w:r>
      <w:r>
        <w:rPr>
          <w:b w:val="1"/>
          <w:bCs w:val="1"/>
          <w:sz w:val="20"/>
          <w:szCs w:val="20"/>
          <w:rtl w:val="0"/>
        </w:rPr>
        <w:t>e v</w:t>
      </w:r>
      <w:r>
        <w:rPr>
          <w:b w:val="1"/>
          <w:bCs w:val="1"/>
          <w:sz w:val="20"/>
          <w:szCs w:val="20"/>
          <w:rtl w:val="0"/>
        </w:rPr>
        <w:t>š</w:t>
      </w:r>
      <w:r>
        <w:rPr>
          <w:b w:val="1"/>
          <w:bCs w:val="1"/>
          <w:sz w:val="20"/>
          <w:szCs w:val="20"/>
          <w:rtl w:val="0"/>
        </w:rPr>
        <w:t>ak b</w:t>
      </w:r>
      <w:r>
        <w:rPr>
          <w:b w:val="1"/>
          <w:bCs w:val="1"/>
          <w:sz w:val="20"/>
          <w:szCs w:val="20"/>
          <w:rtl w:val="0"/>
        </w:rPr>
        <w:t>ý</w:t>
      </w:r>
      <w:r>
        <w:rPr>
          <w:b w:val="1"/>
          <w:bCs w:val="1"/>
          <w:sz w:val="20"/>
          <w:szCs w:val="20"/>
          <w:rtl w:val="0"/>
        </w:rPr>
        <w:t>t jej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m vynikaj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c</w:t>
      </w:r>
      <w:r>
        <w:rPr>
          <w:b w:val="1"/>
          <w:bCs w:val="1"/>
          <w:sz w:val="20"/>
          <w:szCs w:val="20"/>
          <w:rtl w:val="0"/>
        </w:rPr>
        <w:t>í</w:t>
      </w:r>
      <w:r>
        <w:rPr>
          <w:b w:val="1"/>
          <w:bCs w:val="1"/>
          <w:sz w:val="20"/>
          <w:szCs w:val="20"/>
          <w:rtl w:val="0"/>
        </w:rPr>
        <w:t>m dopl</w:t>
      </w:r>
      <w:r>
        <w:rPr>
          <w:b w:val="1"/>
          <w:bCs w:val="1"/>
          <w:sz w:val="20"/>
          <w:szCs w:val="20"/>
          <w:rtl w:val="0"/>
        </w:rPr>
        <w:t>ň</w:t>
      </w:r>
      <w:r>
        <w:rPr>
          <w:b w:val="1"/>
          <w:bCs w:val="1"/>
          <w:sz w:val="20"/>
          <w:szCs w:val="20"/>
          <w:rtl w:val="0"/>
        </w:rPr>
        <w:t xml:space="preserve">kem. </w:t>
      </w:r>
    </w:p>
    <w:sectPr>
      <w:headerReference w:type="default" r:id="rId4"/>
      <w:footerReference w:type="default" r:id="rId5"/>
      <w:pgSz w:w="11900" w:h="8400" w:orient="landscape"/>
      <w:pgMar w:top="1080" w:right="1080" w:bottom="108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